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0"/>
        <w:gridCol w:w="10846"/>
      </w:tblGrid>
      <w:tr w:rsidR="005E319F" w:rsidRPr="008F5AD2" w14:paraId="53EF0764" w14:textId="77777777" w:rsidTr="0000754B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074FF6CA" w14:textId="77777777" w:rsidR="005E319F" w:rsidRPr="008F5AD2" w:rsidRDefault="005E319F" w:rsidP="0000754B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bookmarkStart w:id="0" w:name="_Hlk148347689"/>
            <w:r w:rsidRPr="008F5AD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  <w:drawing>
                <wp:anchor distT="0" distB="0" distL="114300" distR="114300" simplePos="0" relativeHeight="251659264" behindDoc="0" locked="0" layoutInCell="1" allowOverlap="1" wp14:anchorId="56ADD077" wp14:editId="65233900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BB4E8B" w14:textId="77777777" w:rsidR="005E319F" w:rsidRPr="008F5AD2" w:rsidRDefault="005E319F" w:rsidP="0000754B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СИЛАБУС НАВЧАЛЬНОЇ ДИСЦИПЛІНИ </w:t>
            </w:r>
          </w:p>
          <w:p w14:paraId="29C0F5F3" w14:textId="77777777" w:rsidR="005E319F" w:rsidRPr="008F5AD2" w:rsidRDefault="005E319F" w:rsidP="0000754B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A841BE" w14:textId="08280A0B" w:rsidR="005E319F" w:rsidRPr="008F5AD2" w:rsidRDefault="005E319F" w:rsidP="0000754B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ПСИХОЛОГІЧНІ АСПЕКТИ ПОВЕДІНКИ СПОЖИВАЧІВ</w:t>
            </w:r>
          </w:p>
        </w:tc>
      </w:tr>
      <w:tr w:rsidR="005E319F" w:rsidRPr="008F5AD2" w14:paraId="2CC5EC10" w14:textId="77777777" w:rsidTr="0000754B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13FB5A5A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19F" w:rsidRPr="008F5AD2" w14:paraId="7C5A6139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FFDF296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C5036FE" w14:textId="11BA5206" w:rsidR="005E319F" w:rsidRPr="005E319F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19F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>поведінкові</w:t>
            </w:r>
            <w:proofErr w:type="spellEnd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</w:tr>
      <w:tr w:rsidR="005E319F" w:rsidRPr="008F5AD2" w14:paraId="5A7BD2CD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250B554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492776" w14:textId="5568B2C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</w:tr>
      <w:tr w:rsidR="005E319F" w:rsidRPr="008F5AD2" w14:paraId="31E22A49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52E2C1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D1EF9D" w14:textId="2988E805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(ОПП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5E319F" w:rsidRPr="008F5AD2" w14:paraId="23972506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C7CFA9A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1A6B5BE" w14:textId="5C367202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</w:tr>
      <w:tr w:rsidR="005E319F" w:rsidRPr="008F5AD2" w14:paraId="3E100580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8741957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8FD075C" w14:textId="2F01D7E4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5E319F" w:rsidRPr="008F5AD2" w14:paraId="73B10C9A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7AFD85E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00C51F6" w14:textId="07B4D485" w:rsidR="005E319F" w:rsidRPr="008F5AD2" w:rsidRDefault="0072250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tr w:rsidR="005E319F" w:rsidRPr="008F5AD2" w14:paraId="43C2B119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A3D5FAA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F8BDDA4" w14:textId="0C159C1B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="00336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ОПП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5E319F" w:rsidRPr="008F5AD2" w14:paraId="3B85254B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10E1BA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5B067A6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</w:tr>
      <w:tr w:rsidR="005E319F" w:rsidRPr="008F5AD2" w14:paraId="29F2DBB5" w14:textId="77777777" w:rsidTr="0000754B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DF48DDA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5E319F" w:rsidRPr="008F5AD2" w14:paraId="6BB0895E" w14:textId="77777777" w:rsidTr="0000754B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64E37DCD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Шиліна</w:t>
            </w:r>
            <w:proofErr w:type="spellEnd"/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Євгенівна</w:t>
            </w:r>
          </w:p>
          <w:p w14:paraId="065E1384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  <w:t>shylinanataliia@gmail.com</w:t>
            </w:r>
          </w:p>
          <w:p w14:paraId="621F73F6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  <w:t xml:space="preserve"> </w:t>
            </w:r>
          </w:p>
        </w:tc>
      </w:tr>
      <w:tr w:rsidR="005E319F" w:rsidRPr="008F5AD2" w14:paraId="3D03A292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E92D5A7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  <w:drawing>
                <wp:inline distT="0" distB="0" distL="0" distR="0" wp14:anchorId="134E9D27" wp14:editId="49EFA713">
                  <wp:extent cx="838200" cy="1118149"/>
                  <wp:effectExtent l="0" t="0" r="0" b="6350"/>
                  <wp:docPr id="10011419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780" cy="112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1B6746" w14:textId="77777777" w:rsidR="005E319F" w:rsidRPr="008F5AD2" w:rsidRDefault="005E319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55A8CB" w14:textId="544B5436" w:rsidR="005E319F" w:rsidRPr="008F5AD2" w:rsidRDefault="005E319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722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2250F" w:rsidRPr="00722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оціально-гуманітарних наук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1394EB6" w14:textId="77777777" w:rsidR="005E319F" w:rsidRPr="008F5AD2" w:rsidRDefault="005E319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  <w:p w14:paraId="7E8D6338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246A03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19F" w:rsidRPr="008F5AD2" w14:paraId="169ABE37" w14:textId="77777777" w:rsidTr="0000754B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4F809EB1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1454DC79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5E319F" w:rsidRPr="008F5AD2" w14:paraId="02A3AC45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97FF68F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до дисципліни</w:t>
            </w:r>
          </w:p>
          <w:p w14:paraId="4D2296BA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AA07800" w14:textId="53EAAF3D" w:rsidR="00C4334E" w:rsidRPr="00C4334E" w:rsidRDefault="00C4334E" w:rsidP="00C433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аспекти поведінки споживачів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призначений для надання студентам розширеного розуміння психологічн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впливають на споживацьку поведінку. </w:t>
            </w:r>
            <w:r w:rsidR="00B74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спрямовано на</w:t>
            </w: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9288865" w14:textId="77777777" w:rsidR="00C4334E" w:rsidRPr="00C4334E" w:rsidRDefault="00C4334E" w:rsidP="00C433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054FDA" w14:textId="77777777" w:rsidR="00C4334E" w:rsidRPr="00C4334E" w:rsidRDefault="00C4334E" w:rsidP="00C4334E">
            <w:pPr>
              <w:pStyle w:val="a3"/>
              <w:numPr>
                <w:ilvl w:val="0"/>
                <w:numId w:val="5"/>
              </w:numPr>
              <w:spacing w:line="240" w:lineRule="auto"/>
              <w:ind w:left="56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Розуміння споживацьких рішень: Курс допомагає студентам розібратися в психологічних процесах, які впливають на вибір і придбання товарів та послуг. Вони вивчають, як споживачі приймають рішення щодо покупок, і </w:t>
            </w: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які фактори впливають на їхні вибори.</w:t>
            </w:r>
          </w:p>
          <w:p w14:paraId="05D6B9D6" w14:textId="77777777" w:rsidR="00C4334E" w:rsidRPr="00C4334E" w:rsidRDefault="00C4334E" w:rsidP="00C4334E">
            <w:pPr>
              <w:pStyle w:val="a3"/>
              <w:numPr>
                <w:ilvl w:val="0"/>
                <w:numId w:val="5"/>
              </w:numPr>
              <w:spacing w:line="240" w:lineRule="auto"/>
              <w:ind w:left="56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 і реклама: Курс вивчає важливі психологічні аспекти, які лежать в основі маркетингових стратегій та реклами. Студенти дізнаються, як ефективно використовувати психологічні методи для залучення споживачів і впливу на їхні рішення.</w:t>
            </w:r>
          </w:p>
          <w:p w14:paraId="42C5E7E3" w14:textId="77777777" w:rsidR="00C4334E" w:rsidRPr="00C4334E" w:rsidRDefault="00C4334E" w:rsidP="00C4334E">
            <w:pPr>
              <w:pStyle w:val="a3"/>
              <w:numPr>
                <w:ilvl w:val="0"/>
                <w:numId w:val="5"/>
              </w:numPr>
              <w:spacing w:line="240" w:lineRule="auto"/>
              <w:ind w:left="56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споживчої культури: Курс допомагає студентам розуміти роль психології у формуванні споживчої культури. Вони вивчають, які психологічні фактори визначають моди, стиль життя та споживчі тенденції.</w:t>
            </w:r>
          </w:p>
          <w:p w14:paraId="51512EE5" w14:textId="77777777" w:rsidR="00C4334E" w:rsidRPr="00C4334E" w:rsidRDefault="00C4334E" w:rsidP="00C4334E">
            <w:pPr>
              <w:pStyle w:val="a3"/>
              <w:numPr>
                <w:ilvl w:val="0"/>
                <w:numId w:val="5"/>
              </w:numPr>
              <w:spacing w:line="240" w:lineRule="auto"/>
              <w:ind w:left="56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аналізу: Студенти навчаються аналізувати та оцінювати споживчі ринки, поведінку споживачів, рекламні кампанії та маркетингові стратегії з психологічної перспективи.</w:t>
            </w:r>
          </w:p>
          <w:p w14:paraId="41555B7D" w14:textId="1861FDC2" w:rsidR="005E319F" w:rsidRPr="00C4334E" w:rsidRDefault="00C4334E" w:rsidP="00C4334E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56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Споживча поведінка в сучасному світі: Курс охоплює сучасні теми, такі як вплив інтернету на споживацьку поведінку, споживча поведінка в умовах кризи, сталого споживання тощо.</w:t>
            </w:r>
          </w:p>
        </w:tc>
      </w:tr>
      <w:tr w:rsidR="005E319F" w:rsidRPr="0072250F" w14:paraId="0FAFA3BB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C148F15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дисципліни</w:t>
            </w:r>
          </w:p>
          <w:p w14:paraId="1BC2056E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21CD9D6" w14:textId="77777777" w:rsidR="0000236E" w:rsidRPr="0000236E" w:rsidRDefault="005E319F" w:rsidP="0000236E">
            <w:pPr>
              <w:pStyle w:val="a7"/>
              <w:ind w:firstLine="709"/>
              <w:jc w:val="both"/>
              <w:rPr>
                <w:sz w:val="24"/>
              </w:rPr>
            </w:pPr>
            <w:r w:rsidRPr="0000236E">
              <w:rPr>
                <w:sz w:val="24"/>
              </w:rPr>
              <w:t xml:space="preserve">– </w:t>
            </w:r>
            <w:r w:rsidR="0000236E" w:rsidRPr="0000236E">
              <w:rPr>
                <w:sz w:val="24"/>
              </w:rPr>
              <w:t>надання студентам знань</w:t>
            </w:r>
            <w:r w:rsidR="0000236E" w:rsidRPr="0000236E">
              <w:rPr>
                <w:spacing w:val="-57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про</w:t>
            </w:r>
            <w:r w:rsidR="0000236E" w:rsidRPr="0000236E">
              <w:rPr>
                <w:spacing w:val="1"/>
                <w:sz w:val="24"/>
              </w:rPr>
              <w:t xml:space="preserve"> психологічні особливості формування поведінки, навички та вміння впливати на поведінку споживачів,</w:t>
            </w:r>
            <w:r w:rsidR="0000236E" w:rsidRPr="0000236E">
              <w:rPr>
                <w:sz w:val="24"/>
              </w:rPr>
              <w:t xml:space="preserve"> використовуючи</w:t>
            </w:r>
            <w:r w:rsidR="0000236E" w:rsidRPr="0000236E">
              <w:rPr>
                <w:spacing w:val="1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маркетингові</w:t>
            </w:r>
            <w:r w:rsidR="0000236E" w:rsidRPr="0000236E">
              <w:rPr>
                <w:spacing w:val="1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технології</w:t>
            </w:r>
            <w:r w:rsidR="0000236E" w:rsidRPr="0000236E">
              <w:rPr>
                <w:spacing w:val="1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взаємодії</w:t>
            </w:r>
            <w:r w:rsidR="0000236E" w:rsidRPr="0000236E">
              <w:rPr>
                <w:spacing w:val="1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зі</w:t>
            </w:r>
            <w:r w:rsidR="0000236E" w:rsidRPr="0000236E">
              <w:rPr>
                <w:spacing w:val="1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споживачами</w:t>
            </w:r>
            <w:r w:rsidR="0000236E" w:rsidRPr="0000236E">
              <w:rPr>
                <w:spacing w:val="-1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товарів</w:t>
            </w:r>
            <w:r w:rsidR="0000236E" w:rsidRPr="0000236E">
              <w:rPr>
                <w:spacing w:val="-3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та</w:t>
            </w:r>
            <w:r w:rsidR="0000236E" w:rsidRPr="0000236E">
              <w:rPr>
                <w:spacing w:val="-3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послуг,</w:t>
            </w:r>
            <w:r w:rsidR="0000236E" w:rsidRPr="0000236E">
              <w:rPr>
                <w:spacing w:val="-1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використання</w:t>
            </w:r>
            <w:r w:rsidR="0000236E" w:rsidRPr="0000236E">
              <w:rPr>
                <w:spacing w:val="-3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механізмів</w:t>
            </w:r>
            <w:r w:rsidR="0000236E" w:rsidRPr="0000236E">
              <w:rPr>
                <w:spacing w:val="-1"/>
                <w:sz w:val="24"/>
              </w:rPr>
              <w:t xml:space="preserve"> поведінки </w:t>
            </w:r>
            <w:r w:rsidR="0000236E" w:rsidRPr="0000236E">
              <w:rPr>
                <w:sz w:val="24"/>
              </w:rPr>
              <w:t>для</w:t>
            </w:r>
            <w:r w:rsidR="0000236E" w:rsidRPr="0000236E">
              <w:rPr>
                <w:spacing w:val="-2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досягнення мети</w:t>
            </w:r>
            <w:r w:rsidR="0000236E" w:rsidRPr="0000236E">
              <w:rPr>
                <w:spacing w:val="-8"/>
                <w:sz w:val="24"/>
              </w:rPr>
              <w:t xml:space="preserve"> </w:t>
            </w:r>
            <w:r w:rsidR="0000236E" w:rsidRPr="0000236E">
              <w:rPr>
                <w:sz w:val="24"/>
              </w:rPr>
              <w:t>організації.</w:t>
            </w:r>
          </w:p>
          <w:p w14:paraId="7D570D8C" w14:textId="37DDC9F3" w:rsidR="005E319F" w:rsidRPr="008F5AD2" w:rsidRDefault="005E319F" w:rsidP="0000754B">
            <w:pPr>
              <w:pStyle w:val="a3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5E319F" w:rsidRPr="008F5AD2" w14:paraId="03A661A4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28F7C0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1EB57125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E5DEE0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ЗК1.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2EA3E502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ЗК2.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Знання та розуміння предметної області та розуміння професійної діяльності </w:t>
            </w:r>
          </w:p>
          <w:p w14:paraId="609548F4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ЗК4.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вчитися і оволодівати сучасними знаннями</w:t>
            </w: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5A1CA091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ЗК5.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бути критичним і самокритичним</w:t>
            </w: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748B20C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ЗК6.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Здатність приймати обґрунтовані рішення </w:t>
            </w:r>
          </w:p>
          <w:p w14:paraId="5AE321E4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ЗК8.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Навички міжособистісної взаємодії </w:t>
            </w:r>
          </w:p>
          <w:p w14:paraId="5698161F" w14:textId="77777777" w:rsidR="004D57C1" w:rsidRDefault="004D57C1" w:rsidP="004D57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ЗК9.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працювати в команді</w:t>
            </w: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7D88B3FD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СК3.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до розуміння природи поведінки, діяльності та вчинків</w:t>
            </w: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006DF40A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СК3.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до розуміння природи поведінки, діяльності та вчинків</w:t>
            </w: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537D251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СК10. </w:t>
            </w:r>
            <w:r w:rsidRPr="004D57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до особистісного та професійного самовдосконалення, навчання та саморозвитку</w:t>
            </w:r>
          </w:p>
          <w:p w14:paraId="6161BC7B" w14:textId="77777777" w:rsidR="004D57C1" w:rsidRPr="004D57C1" w:rsidRDefault="004D57C1" w:rsidP="004D57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533F0B" w14:textId="77777777" w:rsidR="005E319F" w:rsidRPr="008847B9" w:rsidRDefault="005E319F" w:rsidP="0000754B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9F" w:rsidRPr="008F5AD2" w14:paraId="6C0A6E9E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FC7F7C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11B386A6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8BD057" w14:textId="77777777" w:rsidR="004D57C1" w:rsidRPr="004D57C1" w:rsidRDefault="004D57C1" w:rsidP="004D5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0" w:firstLine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41023869"/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закономірності та особливості розвитку і функціонування психічних явищ в контексті професійних завдань</w:t>
            </w:r>
          </w:p>
          <w:p w14:paraId="2CC4759E" w14:textId="77777777" w:rsidR="004D57C1" w:rsidRPr="004D57C1" w:rsidRDefault="004D57C1" w:rsidP="004D5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0" w:firstLine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Взаємодіяти, вступати у комунікацію, бути зрозумілим, толерантно ставитися до осіб, що мають інші </w:t>
            </w:r>
            <w:proofErr w:type="spellStart"/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культуральні</w:t>
            </w:r>
            <w:proofErr w:type="spellEnd"/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-вікові відмінності</w:t>
            </w:r>
          </w:p>
          <w:p w14:paraId="07E10A57" w14:textId="77777777" w:rsidR="004D57C1" w:rsidRPr="004D57C1" w:rsidRDefault="004D57C1" w:rsidP="004D5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0" w:firstLine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 виконувати різні ролі у команді у процесі вирішення фахових завдань, у тому числі демонструвати лідерські якості</w:t>
            </w:r>
          </w:p>
          <w:p w14:paraId="5F565A36" w14:textId="77777777" w:rsidR="004D57C1" w:rsidRPr="004D57C1" w:rsidRDefault="004D57C1" w:rsidP="004D5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0" w:firstLine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ставитися до професійного самовдосконалення, навчання та саморозвитку</w:t>
            </w:r>
          </w:p>
          <w:p w14:paraId="0ECFA2B6" w14:textId="77777777" w:rsidR="004D57C1" w:rsidRPr="004D57C1" w:rsidRDefault="004D57C1" w:rsidP="004D5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0" w:firstLine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Демонструвати соціально відповідальну та свідому поведінку, слідувати гуманістичним та </w:t>
            </w:r>
            <w:r w:rsidRPr="004D5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демократичним цінностям у професійній та громадській діяльності.</w:t>
            </w:r>
          </w:p>
          <w:bookmarkEnd w:id="1"/>
          <w:p w14:paraId="4EA1D278" w14:textId="77777777" w:rsidR="004D57C1" w:rsidRPr="00A817B5" w:rsidRDefault="004D57C1" w:rsidP="004D57C1">
            <w:pPr>
              <w:ind w:firstLine="736"/>
              <w:jc w:val="both"/>
              <w:rPr>
                <w:szCs w:val="28"/>
              </w:rPr>
            </w:pPr>
          </w:p>
          <w:p w14:paraId="78A1A380" w14:textId="77777777" w:rsidR="005E319F" w:rsidRPr="008847B9" w:rsidRDefault="005E319F" w:rsidP="0000754B">
            <w:pPr>
              <w:pStyle w:val="Default"/>
              <w:ind w:firstLine="60"/>
              <w:jc w:val="both"/>
            </w:pPr>
          </w:p>
        </w:tc>
      </w:tr>
      <w:tr w:rsidR="005E319F" w:rsidRPr="008F5AD2" w14:paraId="3A3AD3E6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7428CD2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Обсяг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F214401" w14:textId="6170FFA5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281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ЄКТС </w:t>
            </w:r>
            <w:r w:rsidR="00281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годин). Для денної форми навчання: лекції – </w:t>
            </w:r>
            <w:r w:rsidR="00281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 w:rsidR="00281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години, самостійна робота – </w:t>
            </w:r>
            <w:r w:rsidR="00281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5E319F" w:rsidRPr="008F5AD2" w14:paraId="43A49662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DDFEA01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212532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9CBA52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5E319F" w:rsidRPr="008F5AD2" w14:paraId="6F818D44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2A0917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3AB88E1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AEEB31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викладається у 1-му семестрі (1–18 тижні)</w:t>
            </w:r>
          </w:p>
        </w:tc>
      </w:tr>
    </w:tbl>
    <w:p w14:paraId="58155B12" w14:textId="77777777" w:rsidR="005E319F" w:rsidRPr="008F5AD2" w:rsidRDefault="005E319F" w:rsidP="005E319F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219"/>
        <w:gridCol w:w="14316"/>
      </w:tblGrid>
      <w:tr w:rsidR="005E319F" w:rsidRPr="000537D0" w14:paraId="0F79F58E" w14:textId="77777777" w:rsidTr="0000754B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65394A2" w14:textId="77777777" w:rsidR="005E319F" w:rsidRPr="000537D0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Програма дисципліни</w:t>
            </w:r>
          </w:p>
        </w:tc>
      </w:tr>
      <w:tr w:rsidR="005E319F" w:rsidRPr="0072250F" w14:paraId="6A15DAD3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CDEEE0" w14:textId="77777777" w:rsidR="005E319F" w:rsidRPr="000537D0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7CC9549" w14:textId="77777777" w:rsidR="00281473" w:rsidRPr="000537D0" w:rsidRDefault="00281473" w:rsidP="0028147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Предмет, завдання та методи курсу </w:t>
            </w:r>
            <w:r w:rsidRPr="000537D0">
              <w:rPr>
                <w:rStyle w:val="214pt9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 w:eastAsia="uk-UA"/>
              </w:rPr>
              <w:t>«</w:t>
            </w:r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Психологічні аспекти поведінки споживачів</w:t>
            </w:r>
            <w:r w:rsidRPr="000537D0">
              <w:rPr>
                <w:rStyle w:val="214pt9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 w:eastAsia="uk-UA"/>
              </w:rPr>
              <w:t>».</w:t>
            </w:r>
          </w:p>
          <w:p w14:paraId="5E88013C" w14:textId="77777777" w:rsidR="00281473" w:rsidRPr="000537D0" w:rsidRDefault="00281473" w:rsidP="0028147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Предмет, методи </w:t>
            </w: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завдання курсу. Сутність поведінки споживачів. Принципи дослідження поведінки споживачів. Основні функції дослідження поведінки споживача: описова, пояснювальна, прогнозуюча. Модель свідомості споживача. Дисциплінуючі матриці у вивченні поведінки споживачів. Еволюція розвитку науки про поведінку споживачів. Еволюція</w:t>
            </w:r>
            <w:r w:rsidRPr="000537D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світогляду суспільства. Еволюція</w:t>
            </w:r>
            <w:r w:rsidRPr="000537D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світогляду суспільства. Закон України про захист споживачів.</w:t>
            </w:r>
          </w:p>
          <w:p w14:paraId="30027A2D" w14:textId="77777777" w:rsidR="005E319F" w:rsidRPr="000537D0" w:rsidRDefault="005E319F" w:rsidP="000075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E319F" w:rsidRPr="000537D0" w14:paraId="0E5D6FA0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378BF9F" w14:textId="77777777" w:rsidR="005E319F" w:rsidRPr="000537D0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E72487A" w14:textId="77777777" w:rsidR="00281473" w:rsidRPr="000537D0" w:rsidRDefault="00281473" w:rsidP="0028147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Поведінка споживача в умовах економічного обміну.</w:t>
            </w:r>
          </w:p>
          <w:p w14:paraId="6153570C" w14:textId="77777777" w:rsidR="00281473" w:rsidRPr="000537D0" w:rsidRDefault="00281473" w:rsidP="00281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Підходи та етапи аналізу споживчої поведінки. Біхевіоризм. Модель Маршалла. Модель Павлова. Мотиваційні дослідження на основі теорії психоаналізу Фрейда. Модель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Пьєра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Бур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дьє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Bourdieu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Модель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Веблена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Інтегрована модель поведінки споживачів. Відмінності поведінки клієнта та споживача.</w:t>
            </w:r>
          </w:p>
          <w:p w14:paraId="1CA5593E" w14:textId="77777777" w:rsidR="005E319F" w:rsidRPr="000537D0" w:rsidRDefault="005E319F" w:rsidP="000075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E319F" w:rsidRPr="000537D0" w14:paraId="137BA6A5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1900745" w14:textId="77777777" w:rsidR="005E319F" w:rsidRPr="000537D0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ABB140B" w14:textId="77777777" w:rsidR="00281473" w:rsidRPr="000537D0" w:rsidRDefault="00281473" w:rsidP="0028147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Поняття, структура і сутність поведінки споживача, її психологічні особливості.</w:t>
            </w:r>
          </w:p>
          <w:p w14:paraId="25FCE029" w14:textId="77777777" w:rsidR="00281473" w:rsidRPr="000537D0" w:rsidRDefault="00281473" w:rsidP="00281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41014774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Класифікації потреб. Мотивація індивідуального споживача. Структура моделі поведінки на споживчому ринку. Закон про захист прав споживачів. Психологічні типи клієнтів.</w:t>
            </w:r>
          </w:p>
          <w:bookmarkEnd w:id="2"/>
          <w:p w14:paraId="7EBF7F18" w14:textId="77777777" w:rsidR="005E319F" w:rsidRPr="000537D0" w:rsidRDefault="005E319F" w:rsidP="000075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19F" w:rsidRPr="000537D0" w14:paraId="78DBA338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9B4C337" w14:textId="77777777" w:rsidR="005E319F" w:rsidRPr="000537D0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BBABCD3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141014613"/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Типи споживачів та процес прийняття рішення індивідуальним споживачем: особливості, етапи та вирішальні чинники.</w:t>
            </w:r>
          </w:p>
          <w:p w14:paraId="75EAEC0D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споживачів за соціонікою: теоретики, практики,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вирішувачі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креативщики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Модель DISC. Алгоритми процесу покупки існуючих і нових товарів. Усвідомлення проблеми. Пошук інформації. </w:t>
            </w:r>
            <w:r w:rsidRPr="000537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Психологічні особливості сприйняття товару-новинки споживачем.</w:t>
            </w: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37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Маркетингові інструменти, що сприяють ухваленню рішення про покупку товару-новинки. </w:t>
            </w: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варіантів. Рішення про покупку. Купівля та реакція на покупку.</w:t>
            </w:r>
          </w:p>
          <w:bookmarkEnd w:id="3"/>
          <w:p w14:paraId="2083BC4D" w14:textId="77777777" w:rsidR="005E319F" w:rsidRPr="000537D0" w:rsidRDefault="005E319F" w:rsidP="000075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E319F" w:rsidRPr="000537D0" w14:paraId="56D3C859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D11A5F7" w14:textId="77777777" w:rsidR="005E319F" w:rsidRPr="000537D0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5.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FB14A27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Етика взаємодії із споживачем.</w:t>
            </w:r>
          </w:p>
          <w:p w14:paraId="5F76A1F2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Етичні проблеми маркетингу. Громадський та правовий захист споживачів.</w:t>
            </w:r>
          </w:p>
          <w:p w14:paraId="68B730B0" w14:textId="77777777" w:rsidR="005E319F" w:rsidRPr="000537D0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19F" w:rsidRPr="000537D0" w14:paraId="15633C0C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B9D434" w14:textId="77777777" w:rsidR="005E319F" w:rsidRPr="000537D0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F88145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Культурні чинники зовнішнього впливу на поведінку споживача</w:t>
            </w:r>
          </w:p>
          <w:p w14:paraId="088421FD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Культура. Субкультура. Соціальний клас. Архетипи особистості: особливості та способи взаємодії з кожним.</w:t>
            </w:r>
          </w:p>
          <w:p w14:paraId="2E2D27F9" w14:textId="77777777" w:rsidR="005E319F" w:rsidRPr="000537D0" w:rsidRDefault="005E319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5E319F" w:rsidRPr="000537D0" w14:paraId="40459282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0361DE" w14:textId="77777777" w:rsidR="005E319F" w:rsidRPr="000537D0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893C28F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Соціальні чинники зовнішнього впливу на поведінку споживача.</w:t>
            </w:r>
          </w:p>
          <w:p w14:paraId="779B9C79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Референтні групи. Сім’я. Ролі і статуси.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Соціонічна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теорія про 16 типів інформаційного метаболізму.</w:t>
            </w:r>
          </w:p>
          <w:p w14:paraId="140288C4" w14:textId="77777777" w:rsidR="005E319F" w:rsidRPr="000537D0" w:rsidRDefault="005E319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5E319F" w:rsidRPr="000537D0" w14:paraId="302DE092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124DC2" w14:textId="77777777" w:rsidR="005E319F" w:rsidRPr="000537D0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DF8FC3E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Особисті чинники внутрішнього впливу на поведінку споживача. Основи </w:t>
            </w:r>
            <w:proofErr w:type="spellStart"/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психотипування</w:t>
            </w:r>
            <w:proofErr w:type="spellEnd"/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03F1C545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Вік, стать, етап життєвого циклу сім’ї. Рід занять, спосіб життя, економічне становище. Тип особистості, уявлення про самого себе. Типи особистостей за К.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Юнгом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Типологія за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Майер-Бріггс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631177CD" w14:textId="77777777" w:rsidR="005E319F" w:rsidRPr="000537D0" w:rsidRDefault="005E319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0537D0" w:rsidRPr="000537D0" w14:paraId="762D7CD6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8F3786" w14:textId="7444C5AC" w:rsidR="000537D0" w:rsidRPr="000537D0" w:rsidRDefault="000537D0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952A492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Психологічні чинники внутрішнього впливу на поведінку споживача.</w:t>
            </w:r>
          </w:p>
          <w:p w14:paraId="628038C6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Психологічні властивості особистості. Мотивація. Сприйняття, засвоєння. Темперамент, характер. Переконання, ставлення. Типології характеру: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Кречмер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Шелдон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Лічко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Фром</w:t>
            </w:r>
            <w:proofErr w:type="spellEnd"/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Життєві сценарії за Е. Берном.</w:t>
            </w:r>
          </w:p>
          <w:p w14:paraId="2451EE3E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7D0" w:rsidRPr="000537D0" w14:paraId="5DC32FF7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DD7787" w14:textId="1F1A6809" w:rsidR="000537D0" w:rsidRPr="000537D0" w:rsidRDefault="000537D0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8151A1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Ситуаційні чинники впливу на поведінку споживача</w:t>
            </w:r>
          </w:p>
          <w:p w14:paraId="24256FA5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і соціальне оточення. Час купівлі, мета споживача, попередній стан.</w:t>
            </w:r>
          </w:p>
          <w:p w14:paraId="733F483D" w14:textId="77777777" w:rsidR="000537D0" w:rsidRPr="000537D0" w:rsidRDefault="000537D0" w:rsidP="000537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B0D067F" w14:textId="77777777" w:rsidR="005E319F" w:rsidRDefault="005E319F" w:rsidP="005E319F">
      <w:pPr>
        <w:rPr>
          <w:rFonts w:ascii="Times New Roman" w:hAnsi="Times New Roman" w:cs="Times New Roman"/>
          <w:lang w:val="uk-UA"/>
        </w:rPr>
      </w:pPr>
    </w:p>
    <w:p w14:paraId="6DBF1E96" w14:textId="77777777" w:rsidR="005E319F" w:rsidRPr="008F5AD2" w:rsidRDefault="005E319F" w:rsidP="005E319F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5E319F" w:rsidRPr="008F5AD2" w14:paraId="5CD212A8" w14:textId="77777777" w:rsidTr="0000754B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805426C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рекомендованих джерел </w:t>
            </w:r>
          </w:p>
        </w:tc>
      </w:tr>
      <w:tr w:rsidR="005E319F" w:rsidRPr="008F5AD2" w14:paraId="0EA0F951" w14:textId="77777777" w:rsidTr="0000754B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A4468E" w14:textId="77777777" w:rsidR="00D03C22" w:rsidRPr="00D03C22" w:rsidRDefault="00D03C22" w:rsidP="00D03C2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bookmarkStart w:id="4" w:name="_Hlk141015363"/>
            <w:r w:rsidRPr="00D03C2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Основна</w:t>
            </w:r>
          </w:p>
          <w:p w14:paraId="54338C80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Городняк І. В. Поведінка споживача [Текст] 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навч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посіб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; Львів.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нац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ун-т ім. Івана Франка. Львів : ЛНУ ім. Івана Франка, 2018. 255 с.</w:t>
            </w:r>
          </w:p>
          <w:p w14:paraId="58A1FF50" w14:textId="1BFEBF86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2.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Зозульов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А. В. </w:t>
            </w:r>
            <w:bookmarkStart w:id="5" w:name="_Hlk148349910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Поведінка споживачів: навчальний посібник</w:t>
            </w:r>
            <w:bookmarkEnd w:id="5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К. : Знання, 2014. 364 с.</w:t>
            </w:r>
          </w:p>
          <w:p w14:paraId="59CC80B8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Іваненко Л. М.,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Боєнко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О. Ю. Поведінка споживачів [Текст] 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навч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посіб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;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Донец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нац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ун-т ім. Василя Стуса,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Екон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ф-т, Каф. маркетингу. Вінниця 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ДонНУ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ім. Василя Стуса, 2016. 255 с.</w:t>
            </w:r>
          </w:p>
          <w:p w14:paraId="1572F8D3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4.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Кожухівська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Р. Б.,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Транченко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Л. В. Поведінка споживачів [Текст] 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навч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посіб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для студентів ВНЗ. Умань : Жовтий О. О., 2014. 360 с.</w:t>
            </w:r>
          </w:p>
          <w:p w14:paraId="76C0724B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lastRenderedPageBreak/>
              <w:t>5.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Комірна В. В.,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Аракелова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І. О. Поведінка споживачів [Текст] 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навч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.- метод.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посіб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;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Донец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держ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ун-т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упр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., Каф. маркетингу. Донецьк 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Ноулідж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Донец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від-ня, 2013. 198 с.</w:t>
            </w:r>
          </w:p>
          <w:p w14:paraId="4FED9790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6.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Ларіна Я.С. Поведінка споживача: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навч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Посібник / Я.С. Ларіна, А. В. Рябчик; – К.: Академія, 2014. – 224 с..</w:t>
            </w:r>
          </w:p>
          <w:p w14:paraId="68DC53F0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7.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Маркетинг для магістрів.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Навч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Посібник/ Під ред..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М.М.Єрмашенка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С.А.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Єрохіна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  <w:p w14:paraId="678D1C37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– К. ВНЗ «Національна академія управління», 2020.</w:t>
            </w:r>
          </w:p>
          <w:p w14:paraId="2B8057C1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8.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Окландер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М. А., Жарська І. О. Поведінка споживача [Текст] 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навч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посіб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для студентів ВНЗ ;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Одес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нац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політехн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ун-т. Київ : Центр учбової літератури, 2014. 206 с.</w:t>
            </w:r>
          </w:p>
          <w:p w14:paraId="75B33E8F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9.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Поведінка споживача [Текст] 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навч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посіб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/ Городняк І. В. ; Львів.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нац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ун-т ім. Івана Франка. - Львів : ЛНУ ім. Івана Франка, 2018. - 255 с.</w:t>
            </w:r>
          </w:p>
          <w:p w14:paraId="7873DDAC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10.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Поведінка споживачів у реально-віртуальному середовищі [Текст] 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кол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монографія / [Л. В.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Капінус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та ін.] ;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Нац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ун-т харч. технологій, ННІ економіки і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упр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– Київ : Сердюк, 2017. – 189 с.</w:t>
            </w:r>
          </w:p>
          <w:p w14:paraId="100BF4B7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14:paraId="35B7D33E" w14:textId="77777777" w:rsidR="00D03C22" w:rsidRPr="00D03C22" w:rsidRDefault="00D03C22" w:rsidP="00D03C2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Додаткова</w:t>
            </w:r>
          </w:p>
          <w:p w14:paraId="682FC54B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Гаркавенко С.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С.,Маркетинг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: Підручник для вузів. – К.: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Лібра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, 2002.</w:t>
            </w:r>
          </w:p>
          <w:p w14:paraId="0BB0AAF0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2.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Марчук Е.К.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Украина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новая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парадигма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прогресса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Аналитическое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исследование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– К.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Аваллон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, 2001. – 224 с.</w:t>
            </w:r>
          </w:p>
          <w:p w14:paraId="139A60C1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Марчук Є. К. Україна: нова парадигма розвитку. - К.,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Аваллон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, 2001,</w:t>
            </w:r>
          </w:p>
          <w:p w14:paraId="247E7BFF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4.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Маршалл А. Принципи економічної науки. Реферат підручника. Укладач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Фещенко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В.М. – К. АТЗТ Видавничий центр «Друк»,  2001. - 211 с.</w:t>
            </w:r>
          </w:p>
          <w:p w14:paraId="23679BBD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5.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Основи споживчих знань. Навчальний посібник для вищої освіти. Вегера С.А. та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інш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.- К. К.І.С.,  2008.</w:t>
            </w:r>
          </w:p>
          <w:p w14:paraId="58CE5AAE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6.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Серкутан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Т.В. Маркетинг біотехнологій: специфіка та проблеми / Матеріали ІІІ міжнародної науково-практичної конференції «Стратегічний потенціал державного та територіального розвитку» (м. Маріуполь, 9-10 жовтня 2019 р.). – Маріуполь; Кривий Ріг: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вид.Р.А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Козлов, 2019. – с. 329-330</w:t>
            </w:r>
          </w:p>
          <w:p w14:paraId="7F79A7D0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7.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Шафалюк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О.К. Поведінка споживачів: Курс лекцій. – К.: КНЕУ, 2009. – 68 с.</w:t>
            </w:r>
          </w:p>
          <w:p w14:paraId="7927D843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8.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 xml:space="preserve">Шлапак Н.С.,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Серкутан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Т.В. Проблеми дослідження поведінки споживачів в сучасних умовах /Збірник матеріалів І-ї Міжнародної науково-практичної конференції</w:t>
            </w:r>
          </w:p>
          <w:p w14:paraId="08A06C5E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«Економіко-культурологічне позиціонування України у світовому глобалізованому просторі», 15-19 лютого 2016 р., м. 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Ліптовський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Ян, Словаччина. – с.304-306.</w:t>
            </w:r>
          </w:p>
          <w:p w14:paraId="0D6A0687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14:paraId="37891B3F" w14:textId="77777777" w:rsidR="00D03C22" w:rsidRPr="00D03C22" w:rsidRDefault="00D03C22" w:rsidP="00D03C2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Закони та інші нормативно-правові акти</w:t>
            </w:r>
          </w:p>
          <w:p w14:paraId="21E70E30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Господарський Кодекс України від 16.01.2003 № 436-IV.</w:t>
            </w:r>
          </w:p>
          <w:p w14:paraId="38181A29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2.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захист прав споживачів: Закон України від 01.10.1991 // Правда України. - 1991. -26.11 листопада.</w:t>
            </w:r>
          </w:p>
          <w:p w14:paraId="0FB05EC1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3.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Антимонопольний комітет України: Закон України від 26.11.1993 // Голос України. - 1993. - № 242.</w:t>
            </w:r>
          </w:p>
          <w:p w14:paraId="7C2FCD01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4.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захист від недобросовісної конкуренції: Закон України від 07.06.1996 // Урядовий кур'єр. - 1996. - 29 червня.</w:t>
            </w:r>
          </w:p>
          <w:p w14:paraId="50D896B9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lastRenderedPageBreak/>
              <w:t>5.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рекламу: Закон України від 03.07.1996 № 271/96-ВР // Урядовий кур'єр. - 1996. - 25 липня.</w:t>
            </w:r>
          </w:p>
          <w:p w14:paraId="201B1EAF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6.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основні принципи та вимоги до безпечності та якості харчових продукті: Закон України від 23.12.97 № 711/97-ВР // Голос України. - 1998. - № 20. - 3 лютого.</w:t>
            </w:r>
          </w:p>
          <w:p w14:paraId="4B74F37E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7.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захист економічної конкуренції: Закон України від 11.01.2001// Голос України. - 2001. - 27 лютого.</w:t>
            </w:r>
          </w:p>
          <w:p w14:paraId="60AE1365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8.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стандартизацію: Закон України від 17.05.2001 № 2408-ІП // Голос України. - 2001.- № 108. - 20 червня.</w:t>
            </w:r>
          </w:p>
          <w:p w14:paraId="112AF5BE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9.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порядок зайняття торговельною діяльністю і правила торговельного обслуговування населення: Постанова Кабінету Міністрів України від 08.02.1995 № 108 // Урядовий кур'єр. - 1995. - 21 лютого.</w:t>
            </w:r>
          </w:p>
          <w:p w14:paraId="38222AA7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10.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впровадження штрихового кодування товарів: Постанова Кабінету Міністрів України від 29.05.1996 № 574 //Урядовий кур'єр, 1996. - 20 серпня.</w:t>
            </w:r>
          </w:p>
          <w:p w14:paraId="11CB1E17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11.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внесення змін до Порядку заняття торговельною діяльністю і правил торговельного обслуговування населення: Постанова Кабінету Міністрів України від 10.07.1998 № 1050 //Урядовий кур'єр. - 1998. - 23 липня.</w:t>
            </w:r>
          </w:p>
          <w:p w14:paraId="384E0E88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12.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Про затвердження Типових правил розміщення зовнішньої реклами: Постанова Кабінету Міністрів України від 23.09.1998 № 1511 // Урядовий кур'єр. - 1998. - 1 жовтня.</w:t>
            </w:r>
          </w:p>
          <w:p w14:paraId="25903766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14:paraId="28A9FC2D" w14:textId="77777777" w:rsidR="00D03C22" w:rsidRPr="00D03C22" w:rsidRDefault="00D03C22" w:rsidP="00D03C2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Інформаційні ресурси</w:t>
            </w:r>
          </w:p>
          <w:p w14:paraId="1C3C2610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Державний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комітет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статистики: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[Електронний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ресурс].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–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режим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доступу:- http://www.ukrstat.gov.ua</w:t>
            </w:r>
          </w:p>
          <w:p w14:paraId="4A8CF3E0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2.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Дані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Мінпромполітики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України.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[Електронний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ресурс].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–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режим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доступу:- http://industry.kmu.gov.ua/control/uk/index</w:t>
            </w:r>
          </w:p>
          <w:p w14:paraId="1C74BDD5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zakon.rada.gov.ua</w:t>
            </w:r>
          </w:p>
          <w:p w14:paraId="45A3459B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4.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www.marketing.vc</w:t>
            </w:r>
          </w:p>
          <w:p w14:paraId="23B2321D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5.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www.rynok.biz</w:t>
            </w:r>
          </w:p>
          <w:p w14:paraId="06393E1B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6.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http:// socialmention.com - сервіс для моніторингу інформації у соціальних мережах (</w:t>
            </w:r>
            <w:proofErr w:type="spellStart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англ</w:t>
            </w:r>
            <w:proofErr w:type="spellEnd"/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.).</w:t>
            </w:r>
          </w:p>
          <w:p w14:paraId="5D1054CB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7.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http:// www.europages.com.ru - Професійна пошукова система В2В</w:t>
            </w:r>
          </w:p>
          <w:p w14:paraId="5691D86B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8.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http:// marketing.ua-24.com - портал новин. Також містить рейтинг українських підприємств по галузях.</w:t>
            </w:r>
          </w:p>
          <w:p w14:paraId="3428778F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9.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http:// reklamist.com.ua - інформаційний блог.</w:t>
            </w:r>
          </w:p>
          <w:p w14:paraId="0F7F7800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10.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http:// www.proreklamu.com - інформаційний портал.</w:t>
            </w:r>
          </w:p>
          <w:p w14:paraId="282B63AE" w14:textId="77777777" w:rsidR="00D03C22" w:rsidRPr="00D03C22" w:rsidRDefault="00D03C22" w:rsidP="00D03C22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11.</w:t>
            </w:r>
            <w:r w:rsidRPr="00D03C2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ab/>
              <w:t>http:// www.4p.com.ua - інформаційний портал + новини.</w:t>
            </w:r>
          </w:p>
          <w:bookmarkEnd w:id="4"/>
          <w:p w14:paraId="61A19368" w14:textId="77777777" w:rsidR="005E319F" w:rsidRPr="00D03C22" w:rsidRDefault="005E319F" w:rsidP="0000754B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19F" w:rsidRPr="008F5AD2" w14:paraId="3D8AF617" w14:textId="77777777" w:rsidTr="0000754B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089478E" w14:textId="77777777" w:rsidR="005E319F" w:rsidRPr="008F5AD2" w:rsidRDefault="005E319F" w:rsidP="000075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Інформація про консультації</w:t>
            </w:r>
          </w:p>
        </w:tc>
      </w:tr>
      <w:tr w:rsidR="005E319F" w:rsidRPr="008F5AD2" w14:paraId="5043035A" w14:textId="77777777" w:rsidTr="0000754B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70FB297" w14:textId="0459D0C3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Щопонеділка 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477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серпні-листопаді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477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год.,  </w:t>
            </w:r>
            <w:proofErr w:type="spellStart"/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Н.Є.</w:t>
            </w:r>
          </w:p>
        </w:tc>
      </w:tr>
    </w:tbl>
    <w:p w14:paraId="35E46BE3" w14:textId="77777777" w:rsidR="005E319F" w:rsidRPr="008F5AD2" w:rsidRDefault="005E319F" w:rsidP="005E319F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5E319F" w:rsidRPr="008F5AD2" w14:paraId="373698D9" w14:textId="77777777" w:rsidTr="0000754B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70BB54A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Загальна схема оцінювання</w:t>
            </w:r>
          </w:p>
        </w:tc>
      </w:tr>
      <w:tr w:rsidR="005E319F" w:rsidRPr="008F5AD2" w14:paraId="22C48009" w14:textId="77777777" w:rsidTr="0000754B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9282D1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3B1586D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59A38E6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885873B" w14:textId="77777777" w:rsidR="005E319F" w:rsidRPr="008F5AD2" w:rsidRDefault="005E319F" w:rsidP="0000754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5A19457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 нараховуються таким чином:</w:t>
            </w:r>
          </w:p>
        </w:tc>
      </w:tr>
      <w:tr w:rsidR="005E319F" w:rsidRPr="008F5AD2" w14:paraId="2BB89D91" w14:textId="77777777" w:rsidTr="0000754B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70961C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3B9CE4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AFEC62C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іспиту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B055CAD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77C138C1" w14:textId="77777777" w:rsidR="005E319F" w:rsidRPr="008F5AD2" w:rsidRDefault="005E319F" w:rsidP="0000754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AAB3122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2488CA48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за поточну</w:t>
            </w:r>
          </w:p>
          <w:p w14:paraId="2EC4F955" w14:textId="77777777" w:rsidR="005E319F" w:rsidRPr="008F5AD2" w:rsidRDefault="005E319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(участь у практичних заняттях, виконання практичних завдань та контрольних робіт) – до 60 балів, за результати екзамену – до 40 балів.</w:t>
            </w:r>
          </w:p>
          <w:p w14:paraId="559E0F2A" w14:textId="77777777" w:rsidR="005E319F" w:rsidRPr="008F5AD2" w:rsidRDefault="005E319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19F" w:rsidRPr="008F5AD2" w14:paraId="5BFCADD7" w14:textId="77777777" w:rsidTr="0000754B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4819F50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BC99F85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0F99AE4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2B7F40B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1A3452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55FDF6" w14:textId="77777777" w:rsidR="005E319F" w:rsidRPr="008F5AD2" w:rsidRDefault="005E319F" w:rsidP="000075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19F" w:rsidRPr="008F5AD2" w14:paraId="4AD35CEA" w14:textId="77777777" w:rsidTr="0000754B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A60B78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129F76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D7C336E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0CDDA54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43D9A69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A599C71" w14:textId="77777777" w:rsidR="005E319F" w:rsidRPr="008F5AD2" w:rsidRDefault="005E319F" w:rsidP="00007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19F" w:rsidRPr="008F5AD2" w14:paraId="60C8B875" w14:textId="77777777" w:rsidTr="0000754B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9A049E3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53F4AE2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28632A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07142C2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1AFA06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F6813C" w14:textId="77777777" w:rsidR="005E319F" w:rsidRPr="008F5AD2" w:rsidRDefault="005E319F" w:rsidP="00007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19F" w:rsidRPr="008F5AD2" w14:paraId="1E110F23" w14:textId="77777777" w:rsidTr="0000754B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593C4B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D6AD047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5C51520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4C844AA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1FF1801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248CDEE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19F" w:rsidRPr="008F5AD2" w14:paraId="5A2B1BD3" w14:textId="77777777" w:rsidTr="0000754B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7E65DE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F16B94E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5CFE65D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C54F88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88F4C4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22CD4F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19F" w:rsidRPr="008F5AD2" w14:paraId="48178ECC" w14:textId="77777777" w:rsidTr="0000754B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D75C79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B035A3C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AA98631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8DC9D6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84EDE3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A6DA75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19F" w:rsidRPr="008F5AD2" w14:paraId="1C1E8451" w14:textId="77777777" w:rsidTr="0000754B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ACE0F36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2A620F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B00B251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C5913D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A619366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607968" w14:textId="77777777" w:rsidR="005E319F" w:rsidRPr="008F5AD2" w:rsidRDefault="005E319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19F" w:rsidRPr="008F5AD2" w14:paraId="3DFAA835" w14:textId="77777777" w:rsidTr="0000754B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C6E2E1" w14:textId="77777777" w:rsidR="005E319F" w:rsidRPr="008F5AD2" w:rsidRDefault="005E319F" w:rsidP="00007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опанування дисципліни </w:t>
            </w:r>
          </w:p>
        </w:tc>
      </w:tr>
      <w:tr w:rsidR="005E319F" w:rsidRPr="008F5AD2" w14:paraId="4D0BBA3B" w14:textId="77777777" w:rsidTr="0000754B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13C442" w14:textId="77777777" w:rsidR="005E319F" w:rsidRPr="008F5AD2" w:rsidRDefault="005E319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Відвідування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Здобувачі вищої освіти самостійно планують відвідування лекційних занять, що проводяться в межах дисципліни. Присутність на практичних заняттях та контрольних заходах (екзамен/залік) є обов’язковою. При проведенні занять в онлайн режимі, присутність здобувача враховується у разі відкритого вікна. </w:t>
            </w:r>
          </w:p>
          <w:p w14:paraId="073D12ED" w14:textId="6FD88058" w:rsidR="005E319F" w:rsidRPr="008F5AD2" w:rsidRDefault="005E319F" w:rsidP="00BF31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 w:rsidRPr="008F5AD2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Unicheck</w:t>
            </w:r>
            <w:proofErr w:type="spellEnd"/>
            <w:r w:rsidRPr="008F5AD2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5F442BF" w14:textId="77777777" w:rsidR="005E319F" w:rsidRPr="008F5AD2" w:rsidRDefault="005E319F" w:rsidP="005E319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16B18702" w14:textId="77777777" w:rsidR="005E319F" w:rsidRPr="008F5AD2" w:rsidRDefault="005E319F" w:rsidP="005E319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C1D0A8B" w14:textId="77777777" w:rsidR="005E319F" w:rsidRPr="008F5AD2" w:rsidRDefault="005E319F" w:rsidP="005E319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bookmarkEnd w:id="0"/>
    <w:p w14:paraId="012A8144" w14:textId="77777777" w:rsidR="005E319F" w:rsidRPr="008F5AD2" w:rsidRDefault="005E319F" w:rsidP="005E319F">
      <w:pPr>
        <w:ind w:firstLine="709"/>
        <w:jc w:val="both"/>
        <w:rPr>
          <w:lang w:val="uk-UA"/>
        </w:rPr>
      </w:pPr>
    </w:p>
    <w:p w14:paraId="596AC681" w14:textId="77777777" w:rsidR="00F12C76" w:rsidRPr="005E319F" w:rsidRDefault="00F12C76" w:rsidP="006C0B77">
      <w:pPr>
        <w:ind w:firstLine="709"/>
        <w:jc w:val="both"/>
        <w:rPr>
          <w:lang w:val="uk-UA"/>
        </w:rPr>
      </w:pPr>
    </w:p>
    <w:sectPr w:rsidR="00F12C76" w:rsidRPr="005E319F" w:rsidSect="00502DD8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1A695" w14:textId="77777777" w:rsidR="00493741" w:rsidRDefault="00493741">
      <w:pPr>
        <w:spacing w:line="240" w:lineRule="auto"/>
      </w:pPr>
      <w:r>
        <w:separator/>
      </w:r>
    </w:p>
  </w:endnote>
  <w:endnote w:type="continuationSeparator" w:id="0">
    <w:p w14:paraId="2E262E98" w14:textId="77777777" w:rsidR="00493741" w:rsidRDefault="0049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B08D" w14:textId="77777777" w:rsidR="00493741" w:rsidRDefault="00493741">
      <w:pPr>
        <w:spacing w:line="240" w:lineRule="auto"/>
      </w:pPr>
      <w:r>
        <w:separator/>
      </w:r>
    </w:p>
  </w:footnote>
  <w:footnote w:type="continuationSeparator" w:id="0">
    <w:p w14:paraId="7FB2CB6A" w14:textId="77777777" w:rsidR="00493741" w:rsidRDefault="00493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E96FCD" w14:textId="77777777" w:rsidR="000915C0" w:rsidRDefault="000915C0">
        <w:pPr>
          <w:pStyle w:val="a4"/>
          <w:jc w:val="center"/>
          <w:rPr>
            <w:lang w:val="uk-UA"/>
          </w:rPr>
        </w:pPr>
      </w:p>
      <w:p w14:paraId="5B72D487" w14:textId="77777777" w:rsidR="000915C0" w:rsidRPr="00DB4B99" w:rsidRDefault="00000000" w:rsidP="00DB4B9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012E" w14:textId="77777777" w:rsidR="000915C0" w:rsidRDefault="000915C0">
    <w:pPr>
      <w:pStyle w:val="a4"/>
      <w:rPr>
        <w:lang w:val="uk-UA"/>
      </w:rPr>
    </w:pPr>
  </w:p>
  <w:p w14:paraId="40BC08BE" w14:textId="77777777" w:rsidR="000915C0" w:rsidRPr="00947D1B" w:rsidRDefault="00000000" w:rsidP="00DB4B99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08A8425C" w14:textId="77777777" w:rsidR="000915C0" w:rsidRPr="00947D1B" w:rsidRDefault="00000000" w:rsidP="007A720C">
    <w:pPr>
      <w:pStyle w:val="a4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72FB"/>
    <w:multiLevelType w:val="hybridMultilevel"/>
    <w:tmpl w:val="C6F8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5529"/>
    <w:multiLevelType w:val="hybridMultilevel"/>
    <w:tmpl w:val="AAFE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43EAC"/>
    <w:multiLevelType w:val="hybridMultilevel"/>
    <w:tmpl w:val="EF86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95CF2"/>
    <w:multiLevelType w:val="hybridMultilevel"/>
    <w:tmpl w:val="D1A2E9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5956D5"/>
    <w:multiLevelType w:val="hybridMultilevel"/>
    <w:tmpl w:val="442E161A"/>
    <w:lvl w:ilvl="0" w:tplc="45BA4FD8">
      <w:start w:val="1"/>
      <w:numFmt w:val="decimal"/>
      <w:lvlText w:val="ПРН-%1."/>
      <w:lvlJc w:val="left"/>
      <w:pPr>
        <w:ind w:left="362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74AA783C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 w16cid:durableId="1972175535">
    <w:abstractNumId w:val="1"/>
  </w:num>
  <w:num w:numId="2" w16cid:durableId="911812509">
    <w:abstractNumId w:val="3"/>
  </w:num>
  <w:num w:numId="3" w16cid:durableId="1055465653">
    <w:abstractNumId w:val="5"/>
  </w:num>
  <w:num w:numId="4" w16cid:durableId="2083988512">
    <w:abstractNumId w:val="2"/>
  </w:num>
  <w:num w:numId="5" w16cid:durableId="534974821">
    <w:abstractNumId w:val="0"/>
  </w:num>
  <w:num w:numId="6" w16cid:durableId="484274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9F"/>
    <w:rsid w:val="0000236E"/>
    <w:rsid w:val="000537D0"/>
    <w:rsid w:val="000915C0"/>
    <w:rsid w:val="00200F71"/>
    <w:rsid w:val="00281473"/>
    <w:rsid w:val="0033677E"/>
    <w:rsid w:val="003C07A0"/>
    <w:rsid w:val="00477FF7"/>
    <w:rsid w:val="00493741"/>
    <w:rsid w:val="0049443B"/>
    <w:rsid w:val="004D57C1"/>
    <w:rsid w:val="005E319F"/>
    <w:rsid w:val="006C0B77"/>
    <w:rsid w:val="0072250F"/>
    <w:rsid w:val="008242FF"/>
    <w:rsid w:val="00870751"/>
    <w:rsid w:val="00920B9B"/>
    <w:rsid w:val="00922C48"/>
    <w:rsid w:val="00A475C0"/>
    <w:rsid w:val="00AD0B93"/>
    <w:rsid w:val="00AE1019"/>
    <w:rsid w:val="00B219E0"/>
    <w:rsid w:val="00B746D8"/>
    <w:rsid w:val="00B915B7"/>
    <w:rsid w:val="00BF31B8"/>
    <w:rsid w:val="00C4334E"/>
    <w:rsid w:val="00D03C22"/>
    <w:rsid w:val="00EA59DF"/>
    <w:rsid w:val="00EE4070"/>
    <w:rsid w:val="00F12C76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F828"/>
  <w15:chartTrackingRefBased/>
  <w15:docId w15:val="{6924BDE1-7B50-4EE2-90E1-0C218159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9F"/>
    <w:pPr>
      <w:widowControl w:val="0"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9F"/>
    <w:pPr>
      <w:ind w:left="720"/>
      <w:contextualSpacing/>
    </w:pPr>
    <w:rPr>
      <w:rFonts w:cs="Mangal"/>
      <w:szCs w:val="20"/>
    </w:rPr>
  </w:style>
  <w:style w:type="paragraph" w:styleId="a4">
    <w:name w:val="header"/>
    <w:basedOn w:val="a"/>
    <w:link w:val="a5"/>
    <w:uiPriority w:val="99"/>
    <w:unhideWhenUsed/>
    <w:rsid w:val="005E319F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E319F"/>
    <w:rPr>
      <w:rFonts w:ascii="Arial" w:eastAsia="Arial" w:hAnsi="Arial" w:cs="Mangal"/>
      <w:kern w:val="0"/>
      <w:szCs w:val="20"/>
      <w:lang w:eastAsia="zh-CN" w:bidi="hi-IN"/>
      <w14:ligatures w14:val="none"/>
    </w:rPr>
  </w:style>
  <w:style w:type="character" w:styleId="a6">
    <w:name w:val="Hyperlink"/>
    <w:basedOn w:val="a0"/>
    <w:uiPriority w:val="99"/>
    <w:unhideWhenUsed/>
    <w:rsid w:val="005E319F"/>
    <w:rPr>
      <w:color w:val="0563C1" w:themeColor="hyperlink"/>
      <w:u w:val="single"/>
    </w:rPr>
  </w:style>
  <w:style w:type="paragraph" w:customStyle="1" w:styleId="Default">
    <w:name w:val="Default"/>
    <w:rsid w:val="005E3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">
    <w:name w:val="Абзац списка1"/>
    <w:basedOn w:val="a"/>
    <w:uiPriority w:val="99"/>
    <w:qFormat/>
    <w:rsid w:val="005E319F"/>
    <w:pPr>
      <w:widowControl/>
      <w:spacing w:after="200"/>
      <w:ind w:left="720"/>
    </w:pPr>
    <w:rPr>
      <w:rFonts w:ascii="Calibri" w:eastAsia="Calibri" w:hAnsi="Calibri" w:cs="Calibri"/>
      <w:lang w:eastAsia="en-US" w:bidi="ar-SA"/>
    </w:rPr>
  </w:style>
  <w:style w:type="paragraph" w:styleId="a7">
    <w:name w:val="Body Text"/>
    <w:basedOn w:val="a"/>
    <w:link w:val="a8"/>
    <w:rsid w:val="0000236E"/>
    <w:pPr>
      <w:widowControl/>
      <w:spacing w:line="240" w:lineRule="auto"/>
    </w:pPr>
    <w:rPr>
      <w:rFonts w:ascii="Times New Roman" w:eastAsia="Times New Roman" w:hAnsi="Times New Roman" w:cs="Times New Roman"/>
      <w:sz w:val="28"/>
      <w:szCs w:val="24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00236E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customStyle="1" w:styleId="TableParagraph">
    <w:name w:val="Table Paragraph"/>
    <w:basedOn w:val="a"/>
    <w:uiPriority w:val="99"/>
    <w:rsid w:val="004D57C1"/>
    <w:pPr>
      <w:spacing w:line="240" w:lineRule="auto"/>
    </w:pPr>
    <w:rPr>
      <w:rFonts w:ascii="Calibri" w:eastAsia="Times New Roman" w:hAnsi="Calibri" w:cs="Calibri"/>
      <w:lang w:val="en-US" w:eastAsia="en-US" w:bidi="ar-SA"/>
    </w:rPr>
  </w:style>
  <w:style w:type="character" w:customStyle="1" w:styleId="214pt9">
    <w:name w:val="Основной текст (2) + 14 pt9"/>
    <w:aliases w:val="Полужирный14,Не курсив17"/>
    <w:basedOn w:val="a0"/>
    <w:uiPriority w:val="99"/>
    <w:rsid w:val="00281473"/>
    <w:rPr>
      <w:b/>
      <w:bCs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Mariana Palchynska</cp:lastModifiedBy>
  <cp:revision>7</cp:revision>
  <dcterms:created xsi:type="dcterms:W3CDTF">2023-10-25T12:09:00Z</dcterms:created>
  <dcterms:modified xsi:type="dcterms:W3CDTF">2024-08-25T14:27:00Z</dcterms:modified>
</cp:coreProperties>
</file>